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210C17">
        <w:rPr>
          <w:rFonts w:ascii="Palatino Linotype" w:hAnsi="Palatino Linotype" w:cs="Calibri"/>
        </w:rPr>
        <w:t>dpo.sicurdata@opendata.i</w:t>
      </w:r>
      <w:r w:rsidR="0028636D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</w:t>
      </w:r>
      <w:r w:rsidR="00777AC9">
        <w:rPr>
          <w:rFonts w:ascii="Times New Roman" w:hAnsi="Times New Roman" w:cs="Times New Roman"/>
          <w:sz w:val="24"/>
          <w:szCs w:val="24"/>
        </w:rPr>
        <w:t>le seguenti finalità: a) rilascio delle concessioni cimiteriali; b) gestione delle lampade votive; c) autorizzazioni per esumazioni ed estumulazioni; d) ottemperare ad ulteriori ed eventuali specifiche richieste dell’interessato</w:t>
      </w:r>
      <w:r w:rsidR="003C2AEE">
        <w:rPr>
          <w:rFonts w:ascii="Times New Roman" w:hAnsi="Times New Roman" w:cs="Times New Roman"/>
          <w:sz w:val="24"/>
          <w:szCs w:val="24"/>
        </w:rPr>
        <w:t xml:space="preserve">; e) inserimento nelle anagrafiche e nei database informatici comunali. 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 xml:space="preserve">con logiche strettamente correlate alle finalità stesse anche mediante l’utilizzo di fax, telefono, cellulare, posta </w:t>
      </w:r>
      <w:r w:rsidRPr="00373493">
        <w:rPr>
          <w:rFonts w:ascii="Times New Roman" w:hAnsi="Times New Roman" w:cs="Times New Roman"/>
        </w:rPr>
        <w:lastRenderedPageBreak/>
        <w:t>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lastRenderedPageBreak/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9D" w:rsidRDefault="00FB509D">
      <w:r>
        <w:separator/>
      </w:r>
    </w:p>
  </w:endnote>
  <w:endnote w:type="continuationSeparator" w:id="0">
    <w:p w:rsidR="00FB509D" w:rsidRDefault="00FB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FB509D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9D" w:rsidRDefault="00FB509D">
      <w:r>
        <w:separator/>
      </w:r>
    </w:p>
  </w:footnote>
  <w:footnote w:type="continuationSeparator" w:id="0">
    <w:p w:rsidR="00FB509D" w:rsidRDefault="00FB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30" w:rsidRDefault="000C7F14" w:rsidP="00795654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795654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urbanistica – lavori pubblici - ambiente</w:t>
    </w:r>
  </w:p>
  <w:p w:rsidR="009B7707" w:rsidRPr="0053148A" w:rsidRDefault="001F5F2E" w:rsidP="001F5F2E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SERVIZI CIMITERIALI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FB509D">
    <w:pPr>
      <w:pStyle w:val="Intestazione"/>
    </w:pPr>
  </w:p>
  <w:p w:rsidR="0053148A" w:rsidRDefault="00FB50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6332F"/>
    <w:rsid w:val="000C7F14"/>
    <w:rsid w:val="000D03C5"/>
    <w:rsid w:val="001F5F2E"/>
    <w:rsid w:val="00210C17"/>
    <w:rsid w:val="0028636D"/>
    <w:rsid w:val="002927CD"/>
    <w:rsid w:val="002C5624"/>
    <w:rsid w:val="002E03F4"/>
    <w:rsid w:val="002E6D35"/>
    <w:rsid w:val="00373493"/>
    <w:rsid w:val="003C2AEE"/>
    <w:rsid w:val="00437CC6"/>
    <w:rsid w:val="00453293"/>
    <w:rsid w:val="004A0087"/>
    <w:rsid w:val="004B710C"/>
    <w:rsid w:val="004F4CD0"/>
    <w:rsid w:val="005603AE"/>
    <w:rsid w:val="0058408E"/>
    <w:rsid w:val="005D4765"/>
    <w:rsid w:val="005E254E"/>
    <w:rsid w:val="007129AE"/>
    <w:rsid w:val="007237A9"/>
    <w:rsid w:val="00733922"/>
    <w:rsid w:val="007414BD"/>
    <w:rsid w:val="00771ABE"/>
    <w:rsid w:val="00777AC9"/>
    <w:rsid w:val="00795654"/>
    <w:rsid w:val="00861995"/>
    <w:rsid w:val="009565A7"/>
    <w:rsid w:val="00962656"/>
    <w:rsid w:val="00995075"/>
    <w:rsid w:val="009B7707"/>
    <w:rsid w:val="009C7B53"/>
    <w:rsid w:val="00AD716E"/>
    <w:rsid w:val="00B32218"/>
    <w:rsid w:val="00B61B37"/>
    <w:rsid w:val="00B72283"/>
    <w:rsid w:val="00B74B73"/>
    <w:rsid w:val="00B82B85"/>
    <w:rsid w:val="00BB1B87"/>
    <w:rsid w:val="00CB7230"/>
    <w:rsid w:val="00D25E8F"/>
    <w:rsid w:val="00E10069"/>
    <w:rsid w:val="00EE5F20"/>
    <w:rsid w:val="00F12E0C"/>
    <w:rsid w:val="00F34CB9"/>
    <w:rsid w:val="00F55116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9ACEF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cp:lastPrinted>2018-10-10T10:12:00Z</cp:lastPrinted>
  <dcterms:created xsi:type="dcterms:W3CDTF">2018-12-28T15:16:00Z</dcterms:created>
  <dcterms:modified xsi:type="dcterms:W3CDTF">2019-01-15T08:43:00Z</dcterms:modified>
</cp:coreProperties>
</file>